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eastAsia="仿宋_GB2312"/>
          <w:sz w:val="36"/>
          <w:szCs w:val="32"/>
        </w:rPr>
      </w:pPr>
      <w:bookmarkStart w:id="0" w:name="OLE_LINK1"/>
      <w:r>
        <w:rPr>
          <w:rFonts w:eastAsia="仿宋_GB2312"/>
          <w:sz w:val="36"/>
          <w:szCs w:val="32"/>
        </w:rPr>
        <w:t>江苏财会职业学院职务科技成果资产单列管理办法</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eastAsia="仿宋_GB2312"/>
          <w:sz w:val="36"/>
          <w:szCs w:val="32"/>
          <w:lang w:eastAsia="zh-CN"/>
        </w:rPr>
      </w:pPr>
      <w:r>
        <w:rPr>
          <w:rFonts w:eastAsia="仿宋_GB2312"/>
          <w:sz w:val="36"/>
          <w:szCs w:val="32"/>
        </w:rPr>
        <w:t>（</w:t>
      </w:r>
      <w:r>
        <w:rPr>
          <w:rFonts w:hint="eastAsia" w:eastAsia="仿宋_GB2312"/>
          <w:sz w:val="36"/>
          <w:szCs w:val="32"/>
          <w:lang w:eastAsia="zh-CN"/>
        </w:rPr>
        <w:t>征求意见稿</w:t>
      </w:r>
      <w:r>
        <w:rPr>
          <w:rFonts w:eastAsia="仿宋_GB2312"/>
          <w:sz w:val="36"/>
          <w:szCs w:val="32"/>
        </w:rPr>
        <w:t>）</w:t>
      </w:r>
    </w:p>
    <w:bookmarkEnd w:id="0"/>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eastAsia="仿宋_GB2312"/>
          <w:b/>
          <w:bCs/>
          <w:sz w:val="30"/>
          <w:lang w:eastAsia="zh-CN"/>
        </w:rPr>
      </w:pPr>
      <w:r>
        <w:rPr>
          <w:rFonts w:eastAsia="仿宋_GB2312"/>
          <w:b/>
          <w:bCs/>
          <w:sz w:val="30"/>
        </w:rPr>
        <w:t>第一章 总则</w:t>
      </w:r>
    </w:p>
    <w:p>
      <w:pPr>
        <w:keepNext w:val="0"/>
        <w:keepLines w:val="0"/>
        <w:pageBreakBefore w:val="0"/>
        <w:widowControl w:val="0"/>
        <w:kinsoku/>
        <w:wordWrap/>
        <w:overflowPunct/>
        <w:topLinePunct w:val="0"/>
        <w:autoSpaceDE/>
        <w:autoSpaceDN/>
        <w:bidi w:val="0"/>
        <w:adjustRightInd/>
        <w:snapToGrid/>
        <w:spacing w:line="560" w:lineRule="exact"/>
        <w:ind w:firstLine="602" w:firstLineChars="200"/>
        <w:textAlignment w:val="auto"/>
        <w:rPr>
          <w:rFonts w:hint="eastAsia" w:eastAsia="仿宋_GB2312"/>
          <w:sz w:val="30"/>
          <w:lang w:eastAsia="zh-CN"/>
        </w:rPr>
      </w:pPr>
      <w:r>
        <w:rPr>
          <w:rFonts w:eastAsia="仿宋_GB2312"/>
          <w:b/>
          <w:bCs/>
          <w:sz w:val="30"/>
        </w:rPr>
        <w:t>第一条</w:t>
      </w:r>
      <w:r>
        <w:rPr>
          <w:rFonts w:eastAsia="仿宋_GB2312"/>
          <w:sz w:val="30"/>
        </w:rPr>
        <w:t xml:space="preserve"> 为推动科技创新与产业创新深度融合，促进学校科技成果转化应用，优化科技成果转化国有资产管理模式，提升科技成果转化效能，依据《中华人民共和国促进科技成果转化法》（2015年修订版）、《中华人民共和国科学技术进步法》（2021年修订）、《江苏省科学技术进步条例》、《江苏省科学技术厅等8</w:t>
      </w:r>
      <w:bookmarkStart w:id="2" w:name="_GoBack"/>
      <w:bookmarkEnd w:id="2"/>
      <w:r>
        <w:rPr>
          <w:rFonts w:eastAsia="仿宋_GB2312"/>
          <w:sz w:val="30"/>
        </w:rPr>
        <w:t>部门关于进一步深化赋予科研人员职务科技成果所有权或长期使用权试点工作的通知》（苏科政发〔2023〕219号）、江苏省科技厅、教育厅、财政厅《关于在高校院所建立职务科技成果资产单列管理制度的通知》（苏科改发〔2024〕168号）、《关于在全省开展科技成果“先使用后付费”改革的通知》（苏科改发〔2024〕206号）等相关文件精神，结合江苏财会职业学院实际情况，制定本办法。</w:t>
      </w:r>
    </w:p>
    <w:p>
      <w:pPr>
        <w:keepNext w:val="0"/>
        <w:keepLines w:val="0"/>
        <w:pageBreakBefore w:val="0"/>
        <w:widowControl w:val="0"/>
        <w:kinsoku/>
        <w:wordWrap/>
        <w:overflowPunct/>
        <w:topLinePunct w:val="0"/>
        <w:autoSpaceDE/>
        <w:autoSpaceDN/>
        <w:bidi w:val="0"/>
        <w:adjustRightInd/>
        <w:snapToGrid/>
        <w:spacing w:line="560" w:lineRule="exact"/>
        <w:ind w:firstLine="602" w:firstLineChars="200"/>
        <w:textAlignment w:val="auto"/>
        <w:rPr>
          <w:rFonts w:hint="eastAsia" w:eastAsia="仿宋_GB2312"/>
          <w:sz w:val="30"/>
          <w:lang w:eastAsia="zh-CN"/>
        </w:rPr>
      </w:pPr>
      <w:r>
        <w:rPr>
          <w:rFonts w:eastAsia="仿宋_GB2312"/>
          <w:b/>
          <w:bCs/>
          <w:sz w:val="30"/>
        </w:rPr>
        <w:t>第二条</w:t>
      </w:r>
      <w:r>
        <w:rPr>
          <w:rFonts w:eastAsia="仿宋_GB2312"/>
          <w:sz w:val="30"/>
        </w:rPr>
        <w:t xml:space="preserve"> 本办法适用范围为执行学校工作任务或主要利用学校物质技术条件（包括但不限于资金、设备、零部件、原材料或者不对外公开的技术资料等）所完成的科技成果，具体包括专利技术（含已解密的国防专利，不含保密专利）、计算机软件著作权、新工艺、新技术、核心咨询方法，以及专利申请权、专有技术等未申请但由学校享有权利的无形资产科技成果（下称</w:t>
      </w:r>
      <w:r>
        <w:rPr>
          <w:rFonts w:hint="eastAsia" w:eastAsia="仿宋_GB2312"/>
          <w:sz w:val="30"/>
          <w:lang w:eastAsia="zh-CN"/>
        </w:rPr>
        <w:t>‘</w:t>
      </w:r>
      <w:r>
        <w:rPr>
          <w:rFonts w:eastAsia="仿宋_GB2312"/>
          <w:sz w:val="30"/>
        </w:rPr>
        <w:t>未授权成果</w:t>
      </w:r>
      <w:r>
        <w:rPr>
          <w:rFonts w:hint="eastAsia" w:eastAsia="仿宋_GB2312"/>
          <w:sz w:val="30"/>
          <w:lang w:eastAsia="zh-CN"/>
        </w:rPr>
        <w:t>’</w:t>
      </w:r>
      <w:r>
        <w:rPr>
          <w:rFonts w:eastAsia="仿宋_GB2312"/>
          <w:sz w:val="30"/>
        </w:rPr>
        <w:t>）。</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eastAsia="仿宋_GB2312"/>
          <w:b/>
          <w:bCs/>
          <w:sz w:val="30"/>
          <w:lang w:eastAsia="zh-CN"/>
        </w:rPr>
      </w:pPr>
      <w:r>
        <w:rPr>
          <w:rFonts w:eastAsia="仿宋_GB2312"/>
          <w:b/>
          <w:bCs/>
          <w:sz w:val="30"/>
        </w:rPr>
        <w:t>第二章 职责分工</w:t>
      </w:r>
    </w:p>
    <w:p>
      <w:pPr>
        <w:keepNext w:val="0"/>
        <w:keepLines w:val="0"/>
        <w:pageBreakBefore w:val="0"/>
        <w:widowControl w:val="0"/>
        <w:kinsoku/>
        <w:wordWrap/>
        <w:overflowPunct/>
        <w:topLinePunct w:val="0"/>
        <w:autoSpaceDE/>
        <w:autoSpaceDN/>
        <w:bidi w:val="0"/>
        <w:adjustRightInd/>
        <w:snapToGrid/>
        <w:spacing w:line="560" w:lineRule="exact"/>
        <w:ind w:firstLine="602" w:firstLineChars="200"/>
        <w:textAlignment w:val="auto"/>
        <w:rPr>
          <w:rFonts w:hint="eastAsia" w:eastAsia="仿宋_GB2312"/>
          <w:sz w:val="30"/>
          <w:lang w:eastAsia="zh-CN"/>
        </w:rPr>
      </w:pPr>
      <w:r>
        <w:rPr>
          <w:rFonts w:eastAsia="仿宋_GB2312"/>
          <w:b/>
          <w:bCs/>
          <w:sz w:val="30"/>
        </w:rPr>
        <w:t xml:space="preserve">第三条 </w:t>
      </w:r>
      <w:r>
        <w:rPr>
          <w:rFonts w:eastAsia="仿宋_GB2312"/>
          <w:sz w:val="30"/>
        </w:rPr>
        <w:t>科研处（质管办）作为科技成果管理核心部门，负责职务科技成果的日常登记与管理工作，建立并维护单列管理台账。对成果登记的基本信息进行严格核实，核实无误后，在台账中详细登记成果名称、完成人、成果类型、取得时间、转化状态、转化方式、转化价值等内容，并根据实际情况及时更新。对于专利申请权、专有技术等未授权成果，成果完成人需在转化前向科研处（质管办）提交信息披露及登记申请，经审核同意后，科研处（质管办）及时将成果信息录入单列管理台账，完善成果管理体系。</w:t>
      </w:r>
    </w:p>
    <w:p>
      <w:pPr>
        <w:keepNext w:val="0"/>
        <w:keepLines w:val="0"/>
        <w:pageBreakBefore w:val="0"/>
        <w:widowControl w:val="0"/>
        <w:kinsoku/>
        <w:wordWrap/>
        <w:overflowPunct/>
        <w:topLinePunct w:val="0"/>
        <w:autoSpaceDE/>
        <w:autoSpaceDN/>
        <w:bidi w:val="0"/>
        <w:adjustRightInd/>
        <w:snapToGrid/>
        <w:spacing w:line="560" w:lineRule="exact"/>
        <w:ind w:firstLine="602" w:firstLineChars="200"/>
        <w:textAlignment w:val="auto"/>
        <w:rPr>
          <w:rFonts w:hint="eastAsia" w:eastAsia="仿宋_GB2312"/>
          <w:sz w:val="30"/>
          <w:lang w:eastAsia="zh-CN"/>
        </w:rPr>
      </w:pPr>
      <w:r>
        <w:rPr>
          <w:rFonts w:eastAsia="仿宋_GB2312"/>
          <w:b/>
          <w:bCs/>
          <w:sz w:val="30"/>
        </w:rPr>
        <w:t>第四条</w:t>
      </w:r>
      <w:r>
        <w:rPr>
          <w:rFonts w:eastAsia="仿宋_GB2312"/>
          <w:sz w:val="30"/>
        </w:rPr>
        <w:t xml:space="preserve"> </w:t>
      </w:r>
      <w:bookmarkStart w:id="1" w:name="OLE_LINK2"/>
      <w:r>
        <w:rPr>
          <w:rFonts w:eastAsia="仿宋_GB2312"/>
          <w:sz w:val="30"/>
        </w:rPr>
        <w:t>学校职务成果国有资产管理工作由校级领导统筹负责，全面履行领导、协调职责，统筹推进工作部署与重大事项决策。科研处（质管办）、资产管理处、财务处等相关部门负责人，严格依照各自职责分工，协同落实，确保各项</w:t>
      </w:r>
      <w:r>
        <w:rPr>
          <w:rFonts w:hint="eastAsia" w:eastAsia="仿宋_GB2312"/>
          <w:sz w:val="30"/>
          <w:lang w:eastAsia="zh-CN"/>
        </w:rPr>
        <w:t>工作有效</w:t>
      </w:r>
      <w:r>
        <w:rPr>
          <w:rFonts w:eastAsia="仿宋_GB2312"/>
          <w:sz w:val="30"/>
        </w:rPr>
        <w:t>推进。</w:t>
      </w:r>
    </w:p>
    <w:bookmarkEnd w:id="1"/>
    <w:p>
      <w:pPr>
        <w:keepNext w:val="0"/>
        <w:keepLines w:val="0"/>
        <w:pageBreakBefore w:val="0"/>
        <w:widowControl w:val="0"/>
        <w:kinsoku/>
        <w:wordWrap/>
        <w:overflowPunct/>
        <w:topLinePunct w:val="0"/>
        <w:autoSpaceDE/>
        <w:autoSpaceDN/>
        <w:bidi w:val="0"/>
        <w:adjustRightInd/>
        <w:snapToGrid/>
        <w:spacing w:line="560" w:lineRule="exact"/>
        <w:ind w:firstLine="602" w:firstLineChars="200"/>
        <w:textAlignment w:val="auto"/>
        <w:rPr>
          <w:rFonts w:hint="eastAsia" w:eastAsia="仿宋_GB2312"/>
          <w:sz w:val="30"/>
          <w:lang w:eastAsia="zh-CN"/>
        </w:rPr>
      </w:pPr>
      <w:r>
        <w:rPr>
          <w:rFonts w:eastAsia="仿宋_GB2312"/>
          <w:b/>
          <w:bCs/>
          <w:sz w:val="30"/>
        </w:rPr>
        <w:t>第五条</w:t>
      </w:r>
      <w:r>
        <w:rPr>
          <w:rFonts w:eastAsia="仿宋_GB2312"/>
          <w:sz w:val="30"/>
        </w:rPr>
        <w:t xml:space="preserve"> 在职务科技成果转化全流程中，各部门分工协作：科研处（质管办）负责职务成果的产生、申报、评审等全周期管理工作；资产管理处负责职务成果国有资产的综合管理工作，涵盖资产清查、权属界定等；财务处负责职务成果国有资产的财务管理工作，包括经费核算、收益分配等。</w:t>
      </w:r>
    </w:p>
    <w:p>
      <w:pPr>
        <w:keepNext w:val="0"/>
        <w:keepLines w:val="0"/>
        <w:pageBreakBefore w:val="0"/>
        <w:widowControl w:val="0"/>
        <w:kinsoku/>
        <w:wordWrap/>
        <w:overflowPunct/>
        <w:topLinePunct w:val="0"/>
        <w:autoSpaceDE/>
        <w:autoSpaceDN/>
        <w:bidi w:val="0"/>
        <w:adjustRightInd/>
        <w:snapToGrid/>
        <w:spacing w:line="560" w:lineRule="exact"/>
        <w:ind w:firstLine="602" w:firstLineChars="200"/>
        <w:textAlignment w:val="auto"/>
        <w:rPr>
          <w:rFonts w:hint="eastAsia" w:eastAsia="仿宋_GB2312"/>
          <w:sz w:val="30"/>
          <w:lang w:eastAsia="zh-CN"/>
        </w:rPr>
      </w:pPr>
      <w:r>
        <w:rPr>
          <w:rFonts w:eastAsia="仿宋_GB2312"/>
          <w:b/>
          <w:bCs/>
          <w:sz w:val="30"/>
        </w:rPr>
        <w:t>第六条</w:t>
      </w:r>
      <w:r>
        <w:rPr>
          <w:rFonts w:eastAsia="仿宋_GB2312"/>
          <w:sz w:val="30"/>
        </w:rPr>
        <w:t xml:space="preserve"> 财务处、审计处、资产管理处等相关部门，依据各自职责与权限，对单列管理的决策流程、经费使用管理等开展全方位监督工作。在保障国有资产权益的同时，维护科研人员合法权益，充分激发科研人员参与成果转化的积极性。</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eastAsia="仿宋_GB2312"/>
          <w:b/>
          <w:bCs/>
          <w:sz w:val="30"/>
          <w:lang w:eastAsia="zh-CN"/>
        </w:rPr>
      </w:pPr>
      <w:r>
        <w:rPr>
          <w:rFonts w:eastAsia="仿宋_GB2312"/>
          <w:b/>
          <w:bCs/>
          <w:sz w:val="30"/>
        </w:rPr>
        <w:t>第三章 登记管理</w:t>
      </w:r>
    </w:p>
    <w:p>
      <w:pPr>
        <w:keepNext w:val="0"/>
        <w:keepLines w:val="0"/>
        <w:pageBreakBefore w:val="0"/>
        <w:widowControl w:val="0"/>
        <w:kinsoku/>
        <w:wordWrap/>
        <w:overflowPunct/>
        <w:topLinePunct w:val="0"/>
        <w:autoSpaceDE/>
        <w:autoSpaceDN/>
        <w:bidi w:val="0"/>
        <w:adjustRightInd/>
        <w:snapToGrid/>
        <w:spacing w:line="560" w:lineRule="exact"/>
        <w:ind w:firstLine="602" w:firstLineChars="200"/>
        <w:textAlignment w:val="auto"/>
        <w:rPr>
          <w:rFonts w:hint="eastAsia" w:eastAsia="仿宋_GB2312"/>
          <w:sz w:val="30"/>
          <w:lang w:eastAsia="zh-CN"/>
        </w:rPr>
      </w:pPr>
      <w:r>
        <w:rPr>
          <w:rFonts w:eastAsia="仿宋_GB2312"/>
          <w:b/>
          <w:bCs/>
          <w:sz w:val="30"/>
        </w:rPr>
        <w:t>第七条</w:t>
      </w:r>
      <w:r>
        <w:rPr>
          <w:rFonts w:eastAsia="仿宋_GB2312"/>
          <w:sz w:val="30"/>
        </w:rPr>
        <w:t xml:space="preserve"> 学校职工完成职务成果后，应在</w:t>
      </w:r>
      <w:r>
        <w:rPr>
          <w:rFonts w:hint="eastAsia" w:eastAsia="仿宋_GB2312"/>
          <w:sz w:val="30"/>
          <w:lang w:eastAsia="zh-CN"/>
        </w:rPr>
        <w:t>成果完成之日起</w:t>
      </w:r>
      <w:r>
        <w:rPr>
          <w:rFonts w:hint="eastAsia" w:eastAsia="仿宋_GB2312"/>
          <w:sz w:val="30"/>
          <w:lang w:val="en-US" w:eastAsia="zh-CN"/>
        </w:rPr>
        <w:t>30个工作日内</w:t>
      </w:r>
      <w:r>
        <w:rPr>
          <w:rFonts w:eastAsia="仿宋_GB2312"/>
          <w:sz w:val="30"/>
        </w:rPr>
        <w:t>向科研处（质管办）申报，并提交完整的相关资料。科研处（质管办）对申报的职务成果进行审核、登记后，及时将相关资料移交至资产管理处。资产管理处据此对职务成果国有资产进行正式登记，建立规范的资产台账，明确资产的名称、类型、数量、价值等核心信息，实现资产动态管控。</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eastAsia="仿宋_GB2312"/>
          <w:b/>
          <w:bCs/>
          <w:sz w:val="30"/>
          <w:lang w:eastAsia="zh-CN"/>
        </w:rPr>
      </w:pPr>
      <w:r>
        <w:rPr>
          <w:rFonts w:eastAsia="仿宋_GB2312"/>
          <w:b/>
          <w:bCs/>
          <w:sz w:val="30"/>
        </w:rPr>
        <w:t>第四章 转化管理</w:t>
      </w:r>
    </w:p>
    <w:p>
      <w:pPr>
        <w:keepNext w:val="0"/>
        <w:keepLines w:val="0"/>
        <w:pageBreakBefore w:val="0"/>
        <w:widowControl w:val="0"/>
        <w:kinsoku/>
        <w:wordWrap/>
        <w:overflowPunct/>
        <w:topLinePunct w:val="0"/>
        <w:autoSpaceDE/>
        <w:autoSpaceDN/>
        <w:bidi w:val="0"/>
        <w:adjustRightInd/>
        <w:snapToGrid/>
        <w:spacing w:line="560" w:lineRule="exact"/>
        <w:ind w:firstLine="602" w:firstLineChars="200"/>
        <w:textAlignment w:val="auto"/>
        <w:rPr>
          <w:rFonts w:hint="eastAsia" w:eastAsia="仿宋_GB2312"/>
          <w:sz w:val="30"/>
          <w:lang w:eastAsia="zh-CN"/>
        </w:rPr>
      </w:pPr>
      <w:r>
        <w:rPr>
          <w:rFonts w:eastAsia="仿宋_GB2312"/>
          <w:b/>
          <w:bCs/>
          <w:sz w:val="30"/>
        </w:rPr>
        <w:t>第八条</w:t>
      </w:r>
      <w:r>
        <w:rPr>
          <w:rFonts w:eastAsia="仿宋_GB2312"/>
          <w:sz w:val="30"/>
        </w:rPr>
        <w:t xml:space="preserve"> 职务科技成果可由成果持有人通过省技术产权交易市场平台、“江苏数字科技平台”、地方各类科技服务平台（以下简称“服务平台”）等渠道，以“先使用后付费”形式许可使用。许可双方需明确约定许可费支付方式，可采用“零门槛费+阶段性支付+收入提成”或“延期支付”等模式，支付时间应至少在许可合同生效一年（含）后，或被许可方基于该科技成果形成产品、提供服务并产生收入之后。相关许可合同签订后，成果持有人应在 15 个工作日内将合同副本提交至科研处（质管办）和资产管理处备案</w:t>
      </w:r>
      <w:r>
        <w:rPr>
          <w:rFonts w:hint="eastAsia" w:eastAsia="仿宋_GB2312"/>
          <w:sz w:val="30"/>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02" w:firstLineChars="200"/>
        <w:textAlignment w:val="auto"/>
        <w:rPr>
          <w:rFonts w:hint="eastAsia" w:eastAsia="仿宋_GB2312"/>
          <w:sz w:val="30"/>
          <w:lang w:eastAsia="zh-CN"/>
        </w:rPr>
      </w:pPr>
      <w:r>
        <w:rPr>
          <w:rFonts w:eastAsia="仿宋_GB2312"/>
          <w:b/>
          <w:bCs/>
          <w:sz w:val="30"/>
        </w:rPr>
        <w:t>第九条</w:t>
      </w:r>
      <w:r>
        <w:rPr>
          <w:rFonts w:eastAsia="仿宋_GB2312"/>
          <w:sz w:val="30"/>
        </w:rPr>
        <w:t xml:space="preserve"> 科技成果转让、许可或者作价投资给国有全资企业的，可免于资产评估</w:t>
      </w:r>
      <w:r>
        <w:rPr>
          <w:rFonts w:hint="eastAsia" w:eastAsia="仿宋_GB2312"/>
          <w:sz w:val="30"/>
          <w:lang w:eastAsia="zh-CN"/>
        </w:rPr>
        <w:t>；</w:t>
      </w:r>
      <w:r>
        <w:rPr>
          <w:rFonts w:eastAsia="仿宋_GB2312"/>
          <w:sz w:val="30"/>
        </w:rPr>
        <w:t>转让、许可或者作价投资给非国有全资企业的，学校可自主决定是否进行资产评估</w:t>
      </w:r>
      <w:r>
        <w:rPr>
          <w:rFonts w:hint="eastAsia" w:eastAsia="仿宋_GB2312"/>
          <w:sz w:val="30"/>
          <w:lang w:eastAsia="zh-CN"/>
        </w:rPr>
        <w:t>；</w:t>
      </w:r>
      <w:r>
        <w:rPr>
          <w:rFonts w:eastAsia="仿宋_GB2312"/>
          <w:sz w:val="30"/>
        </w:rPr>
        <w:t>自主决定不进行资产评估的，需经学校学术委员会审议通过并形成书面决议。转化过程中涉及关联交易的，必须委托第三方评估机构对科技成果进行资产价值评估，且转化金额不得低于第三方评估结果。</w:t>
      </w:r>
    </w:p>
    <w:p>
      <w:pPr>
        <w:keepNext w:val="0"/>
        <w:keepLines w:val="0"/>
        <w:pageBreakBefore w:val="0"/>
        <w:widowControl w:val="0"/>
        <w:kinsoku/>
        <w:wordWrap/>
        <w:overflowPunct/>
        <w:topLinePunct w:val="0"/>
        <w:autoSpaceDE/>
        <w:autoSpaceDN/>
        <w:bidi w:val="0"/>
        <w:adjustRightInd/>
        <w:snapToGrid/>
        <w:spacing w:line="560" w:lineRule="exact"/>
        <w:ind w:firstLine="602" w:firstLineChars="200"/>
        <w:textAlignment w:val="auto"/>
        <w:rPr>
          <w:rFonts w:hint="eastAsia" w:eastAsia="仿宋_GB2312"/>
          <w:sz w:val="30"/>
          <w:lang w:eastAsia="zh-CN"/>
        </w:rPr>
      </w:pPr>
      <w:r>
        <w:rPr>
          <w:rFonts w:eastAsia="仿宋_GB2312"/>
          <w:b/>
          <w:bCs/>
          <w:sz w:val="30"/>
        </w:rPr>
        <w:t>第十条</w:t>
      </w:r>
      <w:r>
        <w:rPr>
          <w:rFonts w:eastAsia="仿宋_GB2312"/>
          <w:sz w:val="30"/>
        </w:rPr>
        <w:t xml:space="preserve"> 单列管理的职务科技成果作价投资形成的国有股权，其减持、划转、转让、退出、减值及破产清算等处置工作，区别于现行常规国有资产管理模式，不纳入国有资产保值增值管理考核范围。由学校资产管理处集中统一监管，简化相关国有股权管理决策程序，及时办理投资入账手续，提高资产处置效率。</w:t>
      </w:r>
    </w:p>
    <w:p>
      <w:pPr>
        <w:keepNext w:val="0"/>
        <w:keepLines w:val="0"/>
        <w:pageBreakBefore w:val="0"/>
        <w:widowControl w:val="0"/>
        <w:kinsoku/>
        <w:wordWrap/>
        <w:overflowPunct/>
        <w:topLinePunct w:val="0"/>
        <w:autoSpaceDE/>
        <w:autoSpaceDN/>
        <w:bidi w:val="0"/>
        <w:adjustRightInd/>
        <w:snapToGrid/>
        <w:spacing w:line="560" w:lineRule="exact"/>
        <w:ind w:firstLine="602" w:firstLineChars="200"/>
        <w:textAlignment w:val="auto"/>
        <w:rPr>
          <w:rFonts w:hint="eastAsia" w:eastAsia="仿宋_GB2312"/>
          <w:sz w:val="30"/>
          <w:highlight w:val="none"/>
          <w:lang w:eastAsia="zh-CN"/>
        </w:rPr>
      </w:pPr>
      <w:r>
        <w:rPr>
          <w:rFonts w:eastAsia="仿宋_GB2312"/>
          <w:b/>
          <w:bCs/>
          <w:sz w:val="30"/>
        </w:rPr>
        <w:t>第十一条</w:t>
      </w:r>
      <w:r>
        <w:rPr>
          <w:rFonts w:eastAsia="仿宋_GB2312"/>
          <w:sz w:val="30"/>
        </w:rPr>
        <w:t xml:space="preserve"> 科技成果以作价入股形式进行转化的，</w:t>
      </w:r>
      <w:r>
        <w:rPr>
          <w:rFonts w:eastAsia="仿宋_GB2312"/>
          <w:sz w:val="30"/>
          <w:highlight w:val="none"/>
        </w:rPr>
        <w:t>须报学校学术委员会研究审议，经审议通过后方可实施。</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eastAsia="仿宋_GB2312"/>
          <w:b/>
          <w:bCs/>
          <w:sz w:val="30"/>
          <w:lang w:eastAsia="zh-CN"/>
        </w:rPr>
      </w:pPr>
      <w:r>
        <w:rPr>
          <w:rFonts w:eastAsia="仿宋_GB2312"/>
          <w:b/>
          <w:bCs/>
          <w:sz w:val="30"/>
        </w:rPr>
        <w:t>第五章 包容监督</w:t>
      </w:r>
    </w:p>
    <w:p>
      <w:pPr>
        <w:keepNext w:val="0"/>
        <w:keepLines w:val="0"/>
        <w:pageBreakBefore w:val="0"/>
        <w:widowControl w:val="0"/>
        <w:kinsoku/>
        <w:wordWrap/>
        <w:overflowPunct/>
        <w:topLinePunct w:val="0"/>
        <w:autoSpaceDE/>
        <w:autoSpaceDN/>
        <w:bidi w:val="0"/>
        <w:adjustRightInd/>
        <w:snapToGrid/>
        <w:spacing w:line="560" w:lineRule="exact"/>
        <w:ind w:firstLine="602" w:firstLineChars="200"/>
        <w:textAlignment w:val="auto"/>
        <w:rPr>
          <w:rFonts w:hint="eastAsia" w:eastAsia="仿宋_GB2312"/>
          <w:sz w:val="30"/>
          <w:lang w:eastAsia="zh-CN"/>
        </w:rPr>
      </w:pPr>
      <w:r>
        <w:rPr>
          <w:rFonts w:eastAsia="仿宋_GB2312"/>
          <w:b/>
          <w:bCs/>
          <w:sz w:val="30"/>
        </w:rPr>
        <w:t>第十二条</w:t>
      </w:r>
      <w:r>
        <w:rPr>
          <w:rFonts w:eastAsia="仿宋_GB2312"/>
          <w:sz w:val="30"/>
        </w:rPr>
        <w:t xml:space="preserve"> 学校以符合中央精神和改革方向、有利于科技成果转化为核心标准，对科技成果转化活动实施审慎包容监管，严守重大违法违规风险和资产损失风险底线。对科技成果作价投资等方式形成的国有资产，实施整体保值增值考核，不再对特定科技成果转化个案单独考核，为成果转化营造宽松环境。</w:t>
      </w:r>
    </w:p>
    <w:p>
      <w:pPr>
        <w:keepNext w:val="0"/>
        <w:keepLines w:val="0"/>
        <w:pageBreakBefore w:val="0"/>
        <w:widowControl w:val="0"/>
        <w:kinsoku/>
        <w:wordWrap/>
        <w:overflowPunct/>
        <w:topLinePunct w:val="0"/>
        <w:autoSpaceDE/>
        <w:autoSpaceDN/>
        <w:bidi w:val="0"/>
        <w:adjustRightInd/>
        <w:snapToGrid/>
        <w:spacing w:line="560" w:lineRule="exact"/>
        <w:ind w:firstLine="602" w:firstLineChars="200"/>
        <w:textAlignment w:val="auto"/>
        <w:rPr>
          <w:rFonts w:hint="eastAsia" w:eastAsia="仿宋_GB2312"/>
          <w:sz w:val="30"/>
          <w:lang w:eastAsia="zh-CN"/>
        </w:rPr>
      </w:pPr>
      <w:r>
        <w:rPr>
          <w:rFonts w:eastAsia="仿宋_GB2312"/>
          <w:b/>
          <w:bCs/>
          <w:sz w:val="30"/>
        </w:rPr>
        <w:t>第十三条</w:t>
      </w:r>
      <w:r>
        <w:rPr>
          <w:rFonts w:eastAsia="仿宋_GB2312"/>
          <w:sz w:val="30"/>
        </w:rPr>
        <w:t xml:space="preserve"> 成果责任人员在履行勤勉尽职义务、严格执行决策与公示制度且未牟取非法利益的前提下，免除其因科技成果转化后续价值变化产生的定价决策责任。若在成果转化过程中发现违规问题，应及时启动整改程序，并依规追究相关人员责任，实现监督与包容的有机统一。</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eastAsia="仿宋_GB2312"/>
          <w:b/>
          <w:bCs/>
          <w:sz w:val="30"/>
          <w:lang w:eastAsia="zh-CN"/>
        </w:rPr>
      </w:pPr>
      <w:r>
        <w:rPr>
          <w:rFonts w:eastAsia="仿宋_GB2312"/>
          <w:b/>
          <w:bCs/>
          <w:sz w:val="30"/>
        </w:rPr>
        <w:t>第六章 附则</w:t>
      </w:r>
    </w:p>
    <w:p>
      <w:pPr>
        <w:keepNext w:val="0"/>
        <w:keepLines w:val="0"/>
        <w:pageBreakBefore w:val="0"/>
        <w:widowControl w:val="0"/>
        <w:kinsoku/>
        <w:wordWrap/>
        <w:overflowPunct/>
        <w:topLinePunct w:val="0"/>
        <w:autoSpaceDE/>
        <w:autoSpaceDN/>
        <w:bidi w:val="0"/>
        <w:adjustRightInd/>
        <w:snapToGrid/>
        <w:spacing w:line="560" w:lineRule="exact"/>
        <w:ind w:firstLine="602" w:firstLineChars="200"/>
        <w:textAlignment w:val="auto"/>
        <w:rPr>
          <w:rFonts w:hint="eastAsia" w:eastAsia="仿宋_GB2312"/>
          <w:sz w:val="30"/>
          <w:lang w:eastAsia="zh-CN"/>
        </w:rPr>
      </w:pPr>
      <w:r>
        <w:rPr>
          <w:rFonts w:eastAsia="仿宋_GB2312"/>
          <w:b/>
          <w:bCs/>
          <w:sz w:val="30"/>
        </w:rPr>
        <w:t>第十四条</w:t>
      </w:r>
      <w:r>
        <w:rPr>
          <w:rFonts w:eastAsia="仿宋_GB2312"/>
          <w:sz w:val="30"/>
        </w:rPr>
        <w:t xml:space="preserve"> 本办法由学校科研处（质管办）、资产管理处、财务处共同负责解释。</w:t>
      </w:r>
    </w:p>
    <w:p>
      <w:pPr>
        <w:keepNext w:val="0"/>
        <w:keepLines w:val="0"/>
        <w:pageBreakBefore w:val="0"/>
        <w:widowControl w:val="0"/>
        <w:kinsoku/>
        <w:wordWrap/>
        <w:overflowPunct/>
        <w:topLinePunct w:val="0"/>
        <w:autoSpaceDE/>
        <w:autoSpaceDN/>
        <w:bidi w:val="0"/>
        <w:adjustRightInd/>
        <w:snapToGrid/>
        <w:spacing w:line="560" w:lineRule="exact"/>
        <w:ind w:firstLine="602" w:firstLineChars="200"/>
        <w:textAlignment w:val="auto"/>
        <w:rPr>
          <w:rFonts w:eastAsia="仿宋_GB2312"/>
          <w:sz w:val="30"/>
        </w:rPr>
      </w:pPr>
      <w:r>
        <w:rPr>
          <w:rFonts w:eastAsia="仿宋_GB2312"/>
          <w:b/>
          <w:bCs/>
          <w:sz w:val="30"/>
        </w:rPr>
        <w:t>第十五条</w:t>
      </w:r>
      <w:r>
        <w:rPr>
          <w:rFonts w:eastAsia="仿宋_GB2312"/>
          <w:sz w:val="30"/>
        </w:rPr>
        <w:t xml:space="preserve"> 本办法自发布之日起施行。 </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right"/>
        <w:textAlignment w:val="auto"/>
        <w:rPr>
          <w:rFonts w:eastAsia="仿宋_GB2312"/>
          <w:sz w:val="30"/>
        </w:rPr>
      </w:pPr>
      <w:r>
        <w:rPr>
          <w:rFonts w:eastAsia="仿宋_GB2312"/>
          <w:sz w:val="30"/>
        </w:rPr>
        <w:t xml:space="preserve">江苏财会职业学院科研处（质管办） </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right"/>
        <w:textAlignment w:val="auto"/>
        <w:rPr>
          <w:rFonts w:hint="default" w:eastAsia="仿宋_GB2312"/>
          <w:sz w:val="30"/>
          <w:lang w:val="en-US" w:eastAsia="zh-CN"/>
        </w:rPr>
      </w:pPr>
      <w:r>
        <w:rPr>
          <w:rFonts w:hint="eastAsia" w:eastAsia="仿宋_GB2312"/>
          <w:sz w:val="30"/>
          <w:lang w:val="en-US" w:eastAsia="zh-CN"/>
        </w:rPr>
        <w:t>2025年10月24日</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4FF1A1D"/>
    <w:rsid w:val="2BA504E2"/>
    <w:rsid w:val="3739547B"/>
    <w:rsid w:val="47D5537F"/>
    <w:rsid w:val="51A20D29"/>
    <w:rsid w:val="619F15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2025-10-24T01:46:00Z</dcterms:created>
  <dc:creator>Alfy</dc:creator>
  <cp:lastModifiedBy>WPS_1693825164</cp:lastModifiedBy>
  <dcterms:modified xsi:type="dcterms:W3CDTF">2025-10-24T02:50:20Z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