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仿宋_GB2312" w:cs="Times New Roman"/>
          <w:color w:val="000000"/>
          <w:sz w:val="32"/>
          <w:szCs w:val="32"/>
        </w:rPr>
      </w:pPr>
      <w:bookmarkStart w:id="0" w:name="_Hlk68702898"/>
      <w:bookmarkStart w:id="1" w:name="_Hlk68702689"/>
    </w:p>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苏财会院〔2021〕2</w:t>
      </w: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号</w:t>
      </w:r>
    </w:p>
    <w:p>
      <w:pPr>
        <w:keepNext w:val="0"/>
        <w:keepLines w:val="0"/>
        <w:pageBreakBefore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b/>
          <w:color w:val="000000"/>
          <w:sz w:val="32"/>
          <w:szCs w:val="32"/>
        </w:rPr>
      </w:pPr>
    </w:p>
    <w:p>
      <w:pPr>
        <w:keepNext w:val="0"/>
        <w:keepLines w:val="0"/>
        <w:pageBreakBefore w:val="0"/>
        <w:kinsoku/>
        <w:wordWrap/>
        <w:overflowPunct/>
        <w:topLinePunct w:val="0"/>
        <w:autoSpaceDE/>
        <w:autoSpaceDN/>
        <w:bidi w:val="0"/>
        <w:adjustRightInd/>
        <w:spacing w:line="540" w:lineRule="exact"/>
        <w:textAlignment w:val="auto"/>
        <w:rPr>
          <w:rFonts w:hint="default" w:ascii="Times New Roman" w:hAnsi="Times New Roman" w:eastAsia="方正小标宋简体" w:cs="Times New Roman"/>
          <w:sz w:val="44"/>
          <w:szCs w:val="44"/>
        </w:rPr>
      </w:pPr>
    </w:p>
    <w:bookmarkEnd w:id="0"/>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sz w:val="44"/>
          <w:szCs w:val="44"/>
        </w:rPr>
        <w:t>关于印发《</w:t>
      </w:r>
      <w:r>
        <w:rPr>
          <w:rFonts w:hint="default" w:ascii="Times New Roman" w:hAnsi="Times New Roman" w:eastAsia="方正小标宋简体" w:cs="Times New Roman"/>
          <w:b w:val="0"/>
          <w:bCs/>
          <w:sz w:val="44"/>
          <w:szCs w:val="44"/>
        </w:rPr>
        <w:t>江苏财会职业学院“网上商城”</w:t>
      </w:r>
    </w:p>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val="0"/>
          <w:bCs/>
          <w:sz w:val="44"/>
          <w:szCs w:val="44"/>
        </w:rPr>
        <w:t>采购管理办法</w:t>
      </w:r>
      <w:r>
        <w:rPr>
          <w:rFonts w:hint="default" w:ascii="Times New Roman" w:hAnsi="Times New Roman" w:eastAsia="方正小标宋简体" w:cs="Times New Roman"/>
          <w:sz w:val="44"/>
          <w:szCs w:val="44"/>
        </w:rPr>
        <w:t>》的通知</w:t>
      </w:r>
      <w:bookmarkEnd w:id="1"/>
    </w:p>
    <w:p>
      <w:pPr>
        <w:keepNext w:val="0"/>
        <w:keepLines w:val="0"/>
        <w:pageBreakBefore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各单位、各部门：</w:t>
      </w:r>
    </w:p>
    <w:p>
      <w:pPr>
        <w:keepNext w:val="0"/>
        <w:keepLines w:val="0"/>
        <w:pageBreakBefore w:val="0"/>
        <w:widowControl/>
        <w:kinsoku/>
        <w:wordWrap/>
        <w:overflowPunct/>
        <w:topLinePunct w:val="0"/>
        <w:autoSpaceDE/>
        <w:autoSpaceDN/>
        <w:bidi w:val="0"/>
        <w:adjustRightInd/>
        <w:spacing w:line="54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《江苏财会职业学院“网上商城”采购管理办法》已经</w:t>
      </w:r>
      <w:r>
        <w:rPr>
          <w:rFonts w:hint="eastAsia" w:ascii="Times New Roman" w:hAnsi="Times New Roman" w:eastAsia="仿宋_GB2312" w:cs="Times New Roman"/>
          <w:sz w:val="32"/>
          <w:szCs w:val="32"/>
          <w:lang w:eastAsia="zh-CN"/>
        </w:rPr>
        <w:t>党委会</w:t>
      </w:r>
      <w:r>
        <w:rPr>
          <w:rFonts w:hint="default" w:ascii="Times New Roman" w:hAnsi="Times New Roman" w:eastAsia="仿宋_GB2312" w:cs="Times New Roman"/>
          <w:sz w:val="32"/>
          <w:szCs w:val="32"/>
        </w:rPr>
        <w:t>审议通过，现予以印发，请认真贯彻落实。</w:t>
      </w:r>
    </w:p>
    <w:p>
      <w:pPr>
        <w:keepNext w:val="0"/>
        <w:keepLines w:val="0"/>
        <w:pageBreakBefore w:val="0"/>
        <w:widowControl/>
        <w:kinsoku/>
        <w:wordWrap/>
        <w:overflowPunct/>
        <w:topLinePunct w:val="0"/>
        <w:autoSpaceDE/>
        <w:autoSpaceDN/>
        <w:bidi w:val="0"/>
        <w:adjustRightInd/>
        <w:spacing w:line="54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kinsoku/>
        <w:wordWrap/>
        <w:overflowPunct/>
        <w:topLinePunct w:val="0"/>
        <w:autoSpaceDE/>
        <w:autoSpaceDN/>
        <w:bidi w:val="0"/>
        <w:adjustRightInd/>
        <w:spacing w:line="540"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江苏财会职业学院</w:t>
      </w:r>
    </w:p>
    <w:p>
      <w:pPr>
        <w:keepNext w:val="0"/>
        <w:keepLines w:val="0"/>
        <w:pageBreakBefore w:val="0"/>
        <w:widowControl/>
        <w:kinsoku/>
        <w:wordWrap/>
        <w:overflowPunct/>
        <w:topLinePunct w:val="0"/>
        <w:autoSpaceDE/>
        <w:autoSpaceDN/>
        <w:bidi w:val="0"/>
        <w:adjustRightInd/>
        <w:spacing w:line="54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2021年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日</w:t>
      </w:r>
    </w:p>
    <w:p>
      <w:pPr>
        <w:keepNext w:val="0"/>
        <w:keepLines w:val="0"/>
        <w:pageBreakBefore w:val="0"/>
        <w:widowControl/>
        <w:kinsoku/>
        <w:wordWrap/>
        <w:overflowPunct/>
        <w:topLinePunct w:val="0"/>
        <w:autoSpaceDE/>
        <w:autoSpaceDN/>
        <w:bidi w:val="0"/>
        <w:adjustRightInd/>
        <w:spacing w:line="540"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val="0"/>
        <w:spacing w:line="540" w:lineRule="exact"/>
        <w:ind w:firstLine="5440" w:firstLineChars="1700"/>
        <w:jc w:val="left"/>
        <w:textAlignment w:val="auto"/>
        <w:rPr>
          <w:rFonts w:hint="default" w:ascii="Times New Roman" w:hAnsi="Times New Roman" w:eastAsia="仿宋_GB2312" w:cs="Times New Roman"/>
          <w:color w:val="000000"/>
          <w:kern w:val="0"/>
          <w:sz w:val="32"/>
          <w:szCs w:val="32"/>
        </w:rPr>
      </w:pPr>
    </w:p>
    <w:p>
      <w:pPr>
        <w:keepNext w:val="0"/>
        <w:keepLines w:val="0"/>
        <w:pageBreakBefore w:val="0"/>
        <w:kinsoku/>
        <w:wordWrap/>
        <w:overflowPunct/>
        <w:topLinePunct w:val="0"/>
        <w:autoSpaceDE/>
        <w:autoSpaceDN/>
        <w:bidi w:val="0"/>
        <w:adjustRightInd/>
        <w:spacing w:line="540" w:lineRule="exact"/>
        <w:jc w:val="both"/>
        <w:textAlignment w:val="auto"/>
        <w:rPr>
          <w:rFonts w:hint="default" w:ascii="Times New Roman" w:hAnsi="Times New Roman" w:cs="Times New Roman"/>
          <w:b/>
          <w:sz w:val="36"/>
        </w:rPr>
      </w:pPr>
    </w:p>
    <w:p>
      <w:pPr>
        <w:keepNext w:val="0"/>
        <w:keepLines w:val="0"/>
        <w:pageBreakBefore w:val="0"/>
        <w:kinsoku/>
        <w:wordWrap/>
        <w:overflowPunct/>
        <w:topLinePunct w:val="0"/>
        <w:autoSpaceDE/>
        <w:autoSpaceDN/>
        <w:bidi w:val="0"/>
        <w:adjustRightInd/>
        <w:spacing w:line="540" w:lineRule="exact"/>
        <w:jc w:val="both"/>
        <w:textAlignment w:val="auto"/>
        <w:rPr>
          <w:rFonts w:hint="default" w:ascii="Times New Roman" w:hAnsi="Times New Roman" w:cs="Times New Roman"/>
          <w:b/>
          <w:sz w:val="36"/>
        </w:rPr>
      </w:pPr>
    </w:p>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江苏财会职业学院“网上商城”采购</w:t>
      </w:r>
    </w:p>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管理办法</w:t>
      </w:r>
    </w:p>
    <w:p>
      <w:pPr>
        <w:keepNext w:val="0"/>
        <w:keepLines w:val="0"/>
        <w:pageBreakBefore w:val="0"/>
        <w:kinsoku/>
        <w:wordWrap/>
        <w:overflowPunct/>
        <w:topLinePunct w:val="0"/>
        <w:autoSpaceDE/>
        <w:autoSpaceDN/>
        <w:bidi w:val="0"/>
        <w:adjustRightInd/>
        <w:spacing w:line="540" w:lineRule="exact"/>
        <w:ind w:firstLine="723" w:firstLineChars="200"/>
        <w:jc w:val="center"/>
        <w:textAlignment w:val="auto"/>
        <w:rPr>
          <w:rFonts w:hint="default" w:ascii="Times New Roman" w:hAnsi="Times New Roman" w:cs="Times New Roman"/>
          <w:b/>
          <w:sz w:val="36"/>
          <w:highlight w:val="red"/>
        </w:rPr>
      </w:pPr>
    </w:p>
    <w:p>
      <w:pPr>
        <w:keepNext w:val="0"/>
        <w:keepLines w:val="0"/>
        <w:pageBreakBefore w:val="0"/>
        <w:widowControl/>
        <w:kinsoku/>
        <w:wordWrap/>
        <w:overflowPunct/>
        <w:topLinePunct w:val="0"/>
        <w:autoSpaceDE/>
        <w:autoSpaceDN/>
        <w:bidi w:val="0"/>
        <w:adjustRightInd/>
        <w:spacing w:line="54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eastAsia" w:ascii="Times New Roman" w:hAnsi="Times New Roman" w:eastAsia="仿宋_GB2312" w:cs="Times New Roman"/>
          <w:b/>
          <w:bCs/>
          <w:sz w:val="32"/>
          <w:szCs w:val="32"/>
          <w:lang w:val="en-US" w:eastAsia="zh-CN"/>
        </w:rPr>
        <w:t xml:space="preserve"> </w:t>
      </w:r>
      <w:bookmarkStart w:id="2" w:name="_GoBack"/>
      <w:bookmarkEnd w:id="2"/>
      <w:r>
        <w:rPr>
          <w:rFonts w:hint="default" w:ascii="Times New Roman" w:hAnsi="Times New Roman" w:eastAsia="仿宋_GB2312" w:cs="Times New Roman"/>
          <w:sz w:val="32"/>
          <w:szCs w:val="32"/>
        </w:rPr>
        <w:t>为进一步规范和完善学校采购管理工作,适应现代采购方式需要,缩短采购周期,提高采购效率,降低采购成本, 健全监督制约机制,加强采购过程廉政建设,依据江苏省财政厅《关于在省级预算单位实行网上商城采购的通知》 (苏财购</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2015</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45号)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《江苏省省级预算单位网上商城采购卡管理试行办法》(苏财库</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2015</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54号)以及现行省级国库集中支付制度的有关规定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结合我校实际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制定本管理办法。</w:t>
      </w:r>
    </w:p>
    <w:p>
      <w:pPr>
        <w:keepNext w:val="0"/>
        <w:keepLines w:val="0"/>
        <w:pageBreakBefore w:val="0"/>
        <w:widowControl/>
        <w:kinsoku/>
        <w:wordWrap/>
        <w:overflowPunct/>
        <w:topLinePunct w:val="0"/>
        <w:autoSpaceDE/>
        <w:autoSpaceDN/>
        <w:bidi w:val="0"/>
        <w:adjustRightInd/>
        <w:spacing w:line="54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“江苏省省级政府采购网上商城”是由定点电商按照政府采购目录及限额标准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建立的网上商城采购专用平台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对接江苏省省级政府采购网上商城采购系统。</w:t>
      </w:r>
    </w:p>
    <w:p>
      <w:pPr>
        <w:keepNext w:val="0"/>
        <w:keepLines w:val="0"/>
        <w:pageBreakBefore w:val="0"/>
        <w:widowControl/>
        <w:kinsoku/>
        <w:wordWrap/>
        <w:overflowPunct/>
        <w:topLinePunct w:val="0"/>
        <w:autoSpaceDE/>
        <w:autoSpaceDN/>
        <w:bidi w:val="0"/>
        <w:adjustRightInd/>
        <w:spacing w:line="54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学校招标办为网上商城采购归口管理部门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并由学校安排专门名人员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负责网上商城采购项目的审核、采购、账期支付等工作。</w:t>
      </w:r>
    </w:p>
    <w:p>
      <w:pPr>
        <w:keepNext w:val="0"/>
        <w:keepLines w:val="0"/>
        <w:pageBreakBefore w:val="0"/>
        <w:widowControl/>
        <w:kinsoku/>
        <w:wordWrap/>
        <w:overflowPunct/>
        <w:topLinePunct w:val="0"/>
        <w:autoSpaceDE/>
        <w:autoSpaceDN/>
        <w:bidi w:val="0"/>
        <w:adjustRightInd/>
        <w:spacing w:line="54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网上商城采购须履行事前审批手续。对纳入《江苏省省级政府采购网上商城目录》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且单项或同批预算在20万元以下的货物, 申购人要优先实行网上商城采购。未经批准自行采取其他采购方式的，学校不予报销相关费用。</w:t>
      </w:r>
    </w:p>
    <w:p>
      <w:pPr>
        <w:keepNext w:val="0"/>
        <w:keepLines w:val="0"/>
        <w:pageBreakBefore w:val="0"/>
        <w:widowControl/>
        <w:kinsoku/>
        <w:wordWrap/>
        <w:overflowPunct/>
        <w:topLinePunct w:val="0"/>
        <w:autoSpaceDE/>
        <w:autoSpaceDN/>
        <w:bidi w:val="0"/>
        <w:adjustRightInd/>
        <w:spacing w:line="54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对于网上商城采购确实不能满足需求的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或对于同品牌同型号货物,通过其他采购方式价格更低或服务更优的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经招标办按有关规定审核后，报分管院领导批准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按相关规定另行采购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但报销时须将网上商城相关信息截图作为证明材料。</w:t>
      </w:r>
    </w:p>
    <w:p>
      <w:pPr>
        <w:keepNext w:val="0"/>
        <w:keepLines w:val="0"/>
        <w:pageBreakBefore w:val="0"/>
        <w:widowControl/>
        <w:kinsoku/>
        <w:wordWrap/>
        <w:overflowPunct/>
        <w:topLinePunct w:val="0"/>
        <w:autoSpaceDE/>
        <w:autoSpaceDN/>
        <w:bidi w:val="0"/>
        <w:adjustRightInd/>
        <w:spacing w:line="54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网上商城采购货物的货款须采用网上商城账期支付;网上商城采购的经办人由采购管理员和货物申购人共同组成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采购管理员负责账期支付,申购人负责货物验收、报销。</w:t>
      </w:r>
    </w:p>
    <w:p>
      <w:pPr>
        <w:keepNext w:val="0"/>
        <w:keepLines w:val="0"/>
        <w:pageBreakBefore w:val="0"/>
        <w:widowControl/>
        <w:kinsoku/>
        <w:wordWrap/>
        <w:overflowPunct/>
        <w:topLinePunct w:val="0"/>
        <w:autoSpaceDE/>
        <w:autoSpaceDN/>
        <w:bidi w:val="0"/>
        <w:adjustRightInd/>
        <w:spacing w:line="54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网上商城采购管理权限暂由学校授权专人持有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网上商城账期专门用于网上商城采购货物的货款支付。网上商城账期支付、报销等业务全过程纳入省级预算执行动态监控范围。</w:t>
      </w:r>
    </w:p>
    <w:p>
      <w:pPr>
        <w:keepNext w:val="0"/>
        <w:keepLines w:val="0"/>
        <w:pageBreakBefore w:val="0"/>
        <w:widowControl/>
        <w:kinsoku/>
        <w:wordWrap/>
        <w:overflowPunct/>
        <w:topLinePunct w:val="0"/>
        <w:autoSpaceDE/>
        <w:autoSpaceDN/>
        <w:bidi w:val="0"/>
        <w:adjustRightInd/>
        <w:spacing w:line="54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按照江苏省财政厅规定,采购账期实行以下模式管理:</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采购账期办理时使用指定的账期管理员相关信息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网上商城账号和密码由采购管理员负责保管。</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采购管理员不得利用网上商城采购账号和密码谋取个人利益。　</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因采购管理员管理的网上商城账号和密码使用不当或保管不善等原因产生的罚息、滞纳金等费用,由采购管理员自行承担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如对采购账号造成负面信用影响的,学校追究采购管理员相关责任。</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因申购人报销不及时而造成的罚息、滞纳金等费用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由申购人自行承担,如对采购账号造成负面信用影响的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学校追究申购人相关责任。　</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采购管理员登记信息发生变动时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应使用书面方式及时通知财务处办理变更手续。　　</w:t>
      </w:r>
    </w:p>
    <w:p>
      <w:pPr>
        <w:keepNext w:val="0"/>
        <w:keepLines w:val="0"/>
        <w:pageBreakBefore w:val="0"/>
        <w:widowControl/>
        <w:kinsoku/>
        <w:wordWrap/>
        <w:overflowPunct/>
        <w:topLinePunct w:val="0"/>
        <w:autoSpaceDE/>
        <w:autoSpaceDN/>
        <w:bidi w:val="0"/>
        <w:adjustRightInd/>
        <w:spacing w:line="54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网上商城采购流程如下:</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申购人按照有关规定和程序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提出购买申请。</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申购人与网上商城采购管理员一同登录、浏览网上商城,选定需要采购商品的品牌和型号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如为固定资产则填写固定资产采购申请表。</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填写网上商城采购申请表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经批准后由网上商城采购管理员下单采购货物。</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货物由网上商城配送人员送至申购人指定接收地点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申购人要及时完成验收工作。</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采购管理员收到货物发票后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应及时告知申购人领取货物发票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并通知申购人按学校有关规定20日内完成办理报销手续。</w:t>
      </w:r>
    </w:p>
    <w:p>
      <w:pPr>
        <w:keepNext w:val="0"/>
        <w:keepLines w:val="0"/>
        <w:pageBreakBefore w:val="0"/>
        <w:widowControl/>
        <w:kinsoku/>
        <w:wordWrap/>
        <w:overflowPunct/>
        <w:topLinePunct w:val="0"/>
        <w:autoSpaceDE/>
        <w:autoSpaceDN/>
        <w:bidi w:val="0"/>
        <w:adjustRightInd/>
        <w:spacing w:line="54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各部门（单位)应充分认识网上商城采购管理工作的重要性和必要性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严格按照《江苏省省级政府采购网上商城目录》及限额标准执行。</w:t>
      </w:r>
    </w:p>
    <w:p>
      <w:pPr>
        <w:keepNext w:val="0"/>
        <w:keepLines w:val="0"/>
        <w:pageBreakBefore w:val="0"/>
        <w:widowControl/>
        <w:kinsoku/>
        <w:wordWrap/>
        <w:overflowPunct/>
        <w:topLinePunct w:val="0"/>
        <w:autoSpaceDE/>
        <w:autoSpaceDN/>
        <w:bidi w:val="0"/>
        <w:adjustRightInd/>
        <w:spacing w:line="54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本办法自发布之日起执行。　</w:t>
      </w:r>
    </w:p>
    <w:p>
      <w:pPr>
        <w:keepNext w:val="0"/>
        <w:keepLines w:val="0"/>
        <w:pageBreakBefore w:val="0"/>
        <w:widowControl/>
        <w:kinsoku/>
        <w:wordWrap/>
        <w:overflowPunct/>
        <w:topLinePunct w:val="0"/>
        <w:autoSpaceDE/>
        <w:autoSpaceDN/>
        <w:bidi w:val="0"/>
        <w:adjustRightInd/>
        <w:spacing w:line="54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本办法未尽事宜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以上级部门相关规定为准。　</w:t>
      </w:r>
    </w:p>
    <w:p>
      <w:pPr>
        <w:keepNext w:val="0"/>
        <w:keepLines w:val="0"/>
        <w:pageBreakBefore w:val="0"/>
        <w:widowControl/>
        <w:kinsoku/>
        <w:wordWrap/>
        <w:overflowPunct/>
        <w:topLinePunct w:val="0"/>
        <w:autoSpaceDE/>
        <w:autoSpaceDN/>
        <w:bidi w:val="0"/>
        <w:adjustRightInd/>
        <w:spacing w:line="54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本办法学校授权由招标办负责解释。</w:t>
      </w:r>
    </w:p>
    <w:p>
      <w:pPr>
        <w:keepNext w:val="0"/>
        <w:keepLines w:val="0"/>
        <w:pageBreakBefore w:val="0"/>
        <w:widowControl/>
        <w:kinsoku/>
        <w:wordWrap/>
        <w:overflowPunct/>
        <w:topLinePunct w:val="0"/>
        <w:autoSpaceDE/>
        <w:autoSpaceDN/>
        <w:bidi w:val="0"/>
        <w:adjustRightInd/>
        <w:spacing w:line="540"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附件：江苏财会职业学院网上商城采购申请表</w:t>
      </w:r>
    </w:p>
    <w:p>
      <w:pPr>
        <w:keepNext w:val="0"/>
        <w:keepLines w:val="0"/>
        <w:pageBreakBefore w:val="0"/>
        <w:widowControl/>
        <w:kinsoku/>
        <w:wordWrap/>
        <w:overflowPunct/>
        <w:topLinePunct w:val="0"/>
        <w:autoSpaceDE/>
        <w:autoSpaceDN/>
        <w:bidi w:val="0"/>
        <w:adjustRightInd/>
        <w:spacing w:line="540"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kinsoku/>
        <w:wordWrap/>
        <w:overflowPunct/>
        <w:topLinePunct w:val="0"/>
        <w:autoSpaceDE/>
        <w:autoSpaceDN/>
        <w:bidi w:val="0"/>
        <w:spacing w:line="576" w:lineRule="exact"/>
        <w:jc w:val="left"/>
        <w:textAlignment w:val="auto"/>
        <w:rPr>
          <w:rFonts w:hint="default" w:ascii="Times New Roman" w:hAnsi="Times New Roman" w:eastAsia="仿宋_GB2312" w:cs="Times New Roman"/>
          <w:sz w:val="32"/>
          <w:szCs w:val="32"/>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kinsoku/>
        <w:wordWrap/>
        <w:overflowPunct/>
        <w:topLinePunct w:val="0"/>
        <w:autoSpaceDE/>
        <w:autoSpaceDN/>
        <w:bidi w:val="0"/>
        <w:spacing w:line="576" w:lineRule="exact"/>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江苏财会职业学院网上商城采购申请表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1605"/>
        <w:gridCol w:w="839"/>
        <w:gridCol w:w="2131"/>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16"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申请部门</w:t>
            </w:r>
          </w:p>
        </w:tc>
        <w:tc>
          <w:tcPr>
            <w:tcW w:w="2444" w:type="dxa"/>
            <w:gridSpan w:val="2"/>
            <w:vAlign w:val="center"/>
          </w:tcPr>
          <w:p>
            <w:pPr>
              <w:spacing w:line="480" w:lineRule="exact"/>
              <w:rPr>
                <w:rFonts w:hint="default" w:ascii="Times New Roman" w:hAnsi="Times New Roman" w:eastAsia="宋体" w:cs="Times New Roman"/>
                <w:sz w:val="32"/>
                <w:szCs w:val="32"/>
              </w:rPr>
            </w:pPr>
          </w:p>
        </w:tc>
        <w:tc>
          <w:tcPr>
            <w:tcW w:w="2131"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申请时间</w:t>
            </w:r>
          </w:p>
        </w:tc>
        <w:tc>
          <w:tcPr>
            <w:tcW w:w="2381" w:type="dxa"/>
            <w:vAlign w:val="center"/>
          </w:tcPr>
          <w:p>
            <w:pPr>
              <w:spacing w:line="480" w:lineRule="exact"/>
              <w:rPr>
                <w:rFonts w:hint="default" w:ascii="Times New Roman" w:hAnsi="Times New Roman" w:eastAsia="宋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816"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申请依据</w:t>
            </w:r>
          </w:p>
        </w:tc>
        <w:tc>
          <w:tcPr>
            <w:tcW w:w="6956" w:type="dxa"/>
            <w:gridSpan w:val="4"/>
            <w:vAlign w:val="center"/>
          </w:tcPr>
          <w:p>
            <w:pPr>
              <w:spacing w:line="480" w:lineRule="exact"/>
              <w:rPr>
                <w:rFonts w:hint="default" w:ascii="Times New Roman" w:hAnsi="Times New Roman" w:eastAsia="宋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16"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归口部门</w:t>
            </w:r>
          </w:p>
        </w:tc>
        <w:tc>
          <w:tcPr>
            <w:tcW w:w="2444" w:type="dxa"/>
            <w:gridSpan w:val="2"/>
            <w:vAlign w:val="center"/>
          </w:tcPr>
          <w:p>
            <w:pPr>
              <w:spacing w:line="480" w:lineRule="exact"/>
              <w:rPr>
                <w:rFonts w:hint="default" w:ascii="Times New Roman" w:hAnsi="Times New Roman" w:eastAsia="宋体" w:cs="Times New Roman"/>
                <w:sz w:val="32"/>
                <w:szCs w:val="32"/>
              </w:rPr>
            </w:pPr>
          </w:p>
        </w:tc>
        <w:tc>
          <w:tcPr>
            <w:tcW w:w="2131"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经办人</w:t>
            </w:r>
          </w:p>
        </w:tc>
        <w:tc>
          <w:tcPr>
            <w:tcW w:w="2381" w:type="dxa"/>
            <w:vAlign w:val="center"/>
          </w:tcPr>
          <w:p>
            <w:pPr>
              <w:spacing w:line="480" w:lineRule="exact"/>
              <w:rPr>
                <w:rFonts w:hint="default" w:ascii="Times New Roman" w:hAnsi="Times New Roman" w:eastAsia="宋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816"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采购货物名称、型号、规格及数量</w:t>
            </w:r>
          </w:p>
        </w:tc>
        <w:tc>
          <w:tcPr>
            <w:tcW w:w="6956" w:type="dxa"/>
            <w:gridSpan w:val="4"/>
            <w:vAlign w:val="center"/>
          </w:tcPr>
          <w:p>
            <w:pPr>
              <w:spacing w:line="480" w:lineRule="exact"/>
              <w:jc w:val="left"/>
              <w:rPr>
                <w:rFonts w:hint="default" w:ascii="Times New Roman" w:hAnsi="Times New Roman" w:eastAsia="宋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816"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货物用途</w:t>
            </w:r>
          </w:p>
        </w:tc>
        <w:tc>
          <w:tcPr>
            <w:tcW w:w="6956" w:type="dxa"/>
            <w:gridSpan w:val="4"/>
            <w:vAlign w:val="center"/>
          </w:tcPr>
          <w:p>
            <w:pPr>
              <w:spacing w:line="480" w:lineRule="exact"/>
              <w:rPr>
                <w:rFonts w:hint="default" w:ascii="Times New Roman" w:hAnsi="Times New Roman" w:eastAsia="宋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816" w:type="dxa"/>
            <w:vMerge w:val="restart"/>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网上商</w:t>
            </w:r>
          </w:p>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城报价</w:t>
            </w:r>
          </w:p>
        </w:tc>
        <w:tc>
          <w:tcPr>
            <w:tcW w:w="1605"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苏宁易购</w:t>
            </w:r>
          </w:p>
        </w:tc>
        <w:tc>
          <w:tcPr>
            <w:tcW w:w="5351" w:type="dxa"/>
            <w:gridSpan w:val="3"/>
            <w:vAlign w:val="center"/>
          </w:tcPr>
          <w:p>
            <w:pPr>
              <w:spacing w:line="480" w:lineRule="exact"/>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816" w:type="dxa"/>
            <w:vMerge w:val="continue"/>
            <w:vAlign w:val="center"/>
          </w:tcPr>
          <w:p>
            <w:pPr>
              <w:spacing w:line="480" w:lineRule="exact"/>
              <w:jc w:val="center"/>
              <w:rPr>
                <w:rFonts w:hint="default" w:ascii="Times New Roman" w:hAnsi="Times New Roman" w:eastAsia="宋体" w:cs="Times New Roman"/>
                <w:sz w:val="32"/>
                <w:szCs w:val="32"/>
              </w:rPr>
            </w:pPr>
          </w:p>
        </w:tc>
        <w:tc>
          <w:tcPr>
            <w:tcW w:w="1605"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办公伙伴</w:t>
            </w:r>
          </w:p>
        </w:tc>
        <w:tc>
          <w:tcPr>
            <w:tcW w:w="5351" w:type="dxa"/>
            <w:gridSpan w:val="3"/>
            <w:vAlign w:val="center"/>
          </w:tcPr>
          <w:p>
            <w:pPr>
              <w:spacing w:line="480" w:lineRule="exact"/>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816" w:type="dxa"/>
            <w:vMerge w:val="continue"/>
            <w:vAlign w:val="center"/>
          </w:tcPr>
          <w:p>
            <w:pPr>
              <w:spacing w:line="480" w:lineRule="exact"/>
              <w:jc w:val="center"/>
              <w:rPr>
                <w:rFonts w:hint="default" w:ascii="Times New Roman" w:hAnsi="Times New Roman" w:eastAsia="宋体" w:cs="Times New Roman"/>
                <w:sz w:val="32"/>
                <w:szCs w:val="32"/>
              </w:rPr>
            </w:pPr>
          </w:p>
        </w:tc>
        <w:tc>
          <w:tcPr>
            <w:tcW w:w="1605"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京东商城</w:t>
            </w:r>
          </w:p>
        </w:tc>
        <w:tc>
          <w:tcPr>
            <w:tcW w:w="5351" w:type="dxa"/>
            <w:gridSpan w:val="3"/>
            <w:vAlign w:val="center"/>
          </w:tcPr>
          <w:p>
            <w:pPr>
              <w:spacing w:line="480" w:lineRule="exact"/>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816" w:type="dxa"/>
            <w:vMerge w:val="continue"/>
            <w:vAlign w:val="center"/>
          </w:tcPr>
          <w:p>
            <w:pPr>
              <w:spacing w:line="480" w:lineRule="exact"/>
              <w:jc w:val="center"/>
              <w:rPr>
                <w:rFonts w:hint="default" w:ascii="Times New Roman" w:hAnsi="Times New Roman" w:eastAsia="宋体" w:cs="Times New Roman"/>
                <w:sz w:val="32"/>
                <w:szCs w:val="32"/>
              </w:rPr>
            </w:pPr>
          </w:p>
        </w:tc>
        <w:tc>
          <w:tcPr>
            <w:tcW w:w="1605"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一线达通</w:t>
            </w:r>
          </w:p>
        </w:tc>
        <w:tc>
          <w:tcPr>
            <w:tcW w:w="5351" w:type="dxa"/>
            <w:gridSpan w:val="3"/>
            <w:vAlign w:val="center"/>
          </w:tcPr>
          <w:p>
            <w:pPr>
              <w:spacing w:line="480" w:lineRule="exact"/>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816" w:type="dxa"/>
          </w:tcPr>
          <w:p>
            <w:pPr>
              <w:spacing w:line="40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估计费用</w:t>
            </w:r>
          </w:p>
          <w:p>
            <w:pPr>
              <w:spacing w:line="40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总    额</w:t>
            </w:r>
          </w:p>
        </w:tc>
        <w:tc>
          <w:tcPr>
            <w:tcW w:w="6956" w:type="dxa"/>
            <w:gridSpan w:val="4"/>
            <w:vAlign w:val="center"/>
          </w:tcPr>
          <w:p>
            <w:pPr>
              <w:spacing w:line="480" w:lineRule="exact"/>
              <w:rPr>
                <w:rFonts w:hint="default" w:ascii="Times New Roman" w:hAnsi="Times New Roman" w:eastAsia="宋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816" w:type="dxa"/>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28"/>
                <w:szCs w:val="28"/>
              </w:rPr>
              <w:t>采购归口部门审批意见</w:t>
            </w:r>
          </w:p>
        </w:tc>
        <w:tc>
          <w:tcPr>
            <w:tcW w:w="6956" w:type="dxa"/>
            <w:gridSpan w:val="4"/>
          </w:tcPr>
          <w:p>
            <w:pPr>
              <w:spacing w:line="480" w:lineRule="exact"/>
              <w:jc w:val="left"/>
              <w:rPr>
                <w:rFonts w:hint="default" w:ascii="Times New Roman" w:hAnsi="Times New Roman" w:eastAsia="宋体" w:cs="Times New Roman"/>
                <w:sz w:val="32"/>
                <w:szCs w:val="32"/>
              </w:rPr>
            </w:pPr>
          </w:p>
          <w:p>
            <w:pPr>
              <w:spacing w:line="480" w:lineRule="exact"/>
              <w:jc w:val="right"/>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6"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招标办</w:t>
            </w:r>
          </w:p>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审核意见</w:t>
            </w:r>
          </w:p>
        </w:tc>
        <w:tc>
          <w:tcPr>
            <w:tcW w:w="6956" w:type="dxa"/>
            <w:gridSpan w:val="4"/>
          </w:tcPr>
          <w:p>
            <w:pPr>
              <w:spacing w:line="480" w:lineRule="exact"/>
              <w:jc w:val="left"/>
              <w:rPr>
                <w:rFonts w:hint="default" w:ascii="Times New Roman" w:hAnsi="Times New Roman" w:eastAsia="宋体" w:cs="Times New Roman"/>
                <w:sz w:val="32"/>
                <w:szCs w:val="32"/>
              </w:rPr>
            </w:pPr>
          </w:p>
          <w:p>
            <w:pPr>
              <w:spacing w:line="480" w:lineRule="exact"/>
              <w:jc w:val="right"/>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816"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审计部门</w:t>
            </w:r>
          </w:p>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审核意见</w:t>
            </w:r>
          </w:p>
        </w:tc>
        <w:tc>
          <w:tcPr>
            <w:tcW w:w="6956" w:type="dxa"/>
            <w:gridSpan w:val="4"/>
          </w:tcPr>
          <w:p>
            <w:pPr>
              <w:spacing w:line="480" w:lineRule="exact"/>
              <w:jc w:val="left"/>
              <w:rPr>
                <w:rFonts w:hint="default" w:ascii="Times New Roman" w:hAnsi="Times New Roman" w:eastAsia="宋体" w:cs="Times New Roman"/>
                <w:sz w:val="32"/>
                <w:szCs w:val="32"/>
              </w:rPr>
            </w:pPr>
          </w:p>
          <w:p>
            <w:pPr>
              <w:spacing w:line="480" w:lineRule="exact"/>
              <w:jc w:val="right"/>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816" w:type="dxa"/>
            <w:vAlign w:val="center"/>
          </w:tcPr>
          <w:p>
            <w:pPr>
              <w:spacing w:line="480" w:lineRule="exact"/>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备 注</w:t>
            </w:r>
          </w:p>
        </w:tc>
        <w:tc>
          <w:tcPr>
            <w:tcW w:w="6956" w:type="dxa"/>
            <w:gridSpan w:val="4"/>
          </w:tcPr>
          <w:p>
            <w:pPr>
              <w:spacing w:line="480" w:lineRule="exact"/>
              <w:jc w:val="left"/>
              <w:rPr>
                <w:rFonts w:hint="default" w:ascii="Times New Roman" w:hAnsi="Times New Roman" w:eastAsia="宋体" w:cs="Times New Roman"/>
                <w:sz w:val="32"/>
                <w:szCs w:val="32"/>
              </w:rPr>
            </w:pPr>
          </w:p>
        </w:tc>
      </w:tr>
    </w:tbl>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spacing w:line="480" w:lineRule="exact"/>
        <w:rPr>
          <w:rFonts w:hint="default" w:ascii="Times New Roman" w:hAnsi="Times New Roman" w:cs="Times New Roman"/>
          <w:sz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default" w:ascii="Times New Roman" w:hAnsi="Times New Roman" w:cs="Times New Roman"/>
          <w:color w:val="000000"/>
          <w:kern w:val="0"/>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default" w:ascii="Times New Roman" w:hAnsi="Times New Roman" w:cs="Times New Roman"/>
          <w:color w:val="000000"/>
          <w:kern w:val="0"/>
          <w:sz w:val="32"/>
          <w:szCs w:val="32"/>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86" w:type="dxa"/>
            <w:tcBorders>
              <w:left w:val="nil"/>
              <w:right w:val="nil"/>
            </w:tcBorders>
            <w:noWrap w:val="0"/>
            <w:vAlign w:val="top"/>
          </w:tcPr>
          <w:p>
            <w:pPr>
              <w:keepNext w:val="0"/>
              <w:keepLines w:val="0"/>
              <w:pageBreakBefore w:val="0"/>
              <w:widowControl/>
              <w:kinsoku/>
              <w:wordWrap/>
              <w:overflowPunct/>
              <w:topLinePunct w:val="0"/>
              <w:autoSpaceDE/>
              <w:autoSpaceDN/>
              <w:bidi w:val="0"/>
              <w:adjustRightInd/>
              <w:spacing w:line="540" w:lineRule="exact"/>
              <w:ind w:firstLine="320" w:firstLineChars="1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江苏财会职业学院办公室            2021年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sz w:val="32"/>
        </w:rPr>
      </w:pP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2B"/>
    <w:rsid w:val="00015067"/>
    <w:rsid w:val="000A5869"/>
    <w:rsid w:val="000C40B7"/>
    <w:rsid w:val="00162A13"/>
    <w:rsid w:val="00216EC9"/>
    <w:rsid w:val="00244CEA"/>
    <w:rsid w:val="00250B35"/>
    <w:rsid w:val="00293F8C"/>
    <w:rsid w:val="003379AE"/>
    <w:rsid w:val="003655D4"/>
    <w:rsid w:val="00374ADE"/>
    <w:rsid w:val="0041535F"/>
    <w:rsid w:val="00416982"/>
    <w:rsid w:val="005604FF"/>
    <w:rsid w:val="00614E26"/>
    <w:rsid w:val="00680007"/>
    <w:rsid w:val="006A29AC"/>
    <w:rsid w:val="006C23EC"/>
    <w:rsid w:val="00746575"/>
    <w:rsid w:val="00764400"/>
    <w:rsid w:val="00882749"/>
    <w:rsid w:val="008C52EE"/>
    <w:rsid w:val="00914EF4"/>
    <w:rsid w:val="00922334"/>
    <w:rsid w:val="009B6180"/>
    <w:rsid w:val="009C7572"/>
    <w:rsid w:val="00A2006E"/>
    <w:rsid w:val="00A32BDF"/>
    <w:rsid w:val="00AA16DF"/>
    <w:rsid w:val="00AD3F83"/>
    <w:rsid w:val="00AE2477"/>
    <w:rsid w:val="00B04E15"/>
    <w:rsid w:val="00B46D07"/>
    <w:rsid w:val="00B86266"/>
    <w:rsid w:val="00BD271D"/>
    <w:rsid w:val="00BF30AE"/>
    <w:rsid w:val="00C43B1B"/>
    <w:rsid w:val="00CB7682"/>
    <w:rsid w:val="00CD35D7"/>
    <w:rsid w:val="00D56695"/>
    <w:rsid w:val="00D72105"/>
    <w:rsid w:val="00D747AB"/>
    <w:rsid w:val="00DA272E"/>
    <w:rsid w:val="00DD06A7"/>
    <w:rsid w:val="00E02F34"/>
    <w:rsid w:val="00EC123E"/>
    <w:rsid w:val="00EE05BB"/>
    <w:rsid w:val="00EE40BB"/>
    <w:rsid w:val="00EF202B"/>
    <w:rsid w:val="00F1023E"/>
    <w:rsid w:val="00F33973"/>
    <w:rsid w:val="00F37C48"/>
    <w:rsid w:val="00FE1922"/>
    <w:rsid w:val="00FF587C"/>
    <w:rsid w:val="01211BED"/>
    <w:rsid w:val="04EF6547"/>
    <w:rsid w:val="05AB4269"/>
    <w:rsid w:val="06C95609"/>
    <w:rsid w:val="08933CC5"/>
    <w:rsid w:val="0B655105"/>
    <w:rsid w:val="0C26026B"/>
    <w:rsid w:val="0CA15F1F"/>
    <w:rsid w:val="13927B6A"/>
    <w:rsid w:val="13927EF9"/>
    <w:rsid w:val="18BD2491"/>
    <w:rsid w:val="19EB43F0"/>
    <w:rsid w:val="1E8247C5"/>
    <w:rsid w:val="20C35865"/>
    <w:rsid w:val="274B1185"/>
    <w:rsid w:val="2AE51055"/>
    <w:rsid w:val="2CB45BC9"/>
    <w:rsid w:val="2D96447A"/>
    <w:rsid w:val="2DAA249A"/>
    <w:rsid w:val="331E75B7"/>
    <w:rsid w:val="368C7FEF"/>
    <w:rsid w:val="38D93E6C"/>
    <w:rsid w:val="3C8F722F"/>
    <w:rsid w:val="3D02071E"/>
    <w:rsid w:val="3DE5175F"/>
    <w:rsid w:val="3ECB171C"/>
    <w:rsid w:val="45024CD8"/>
    <w:rsid w:val="49F030B4"/>
    <w:rsid w:val="50713E84"/>
    <w:rsid w:val="50AF31B2"/>
    <w:rsid w:val="538D22C7"/>
    <w:rsid w:val="570D7488"/>
    <w:rsid w:val="589E01C6"/>
    <w:rsid w:val="5B2610B1"/>
    <w:rsid w:val="5F867DCE"/>
    <w:rsid w:val="6228398D"/>
    <w:rsid w:val="65760B62"/>
    <w:rsid w:val="670F4F71"/>
    <w:rsid w:val="6BE47D10"/>
    <w:rsid w:val="6D5651CB"/>
    <w:rsid w:val="6EFB53F9"/>
    <w:rsid w:val="6FAC1FF0"/>
    <w:rsid w:val="729525EF"/>
    <w:rsid w:val="75702692"/>
    <w:rsid w:val="78227B90"/>
    <w:rsid w:val="79C00DF6"/>
    <w:rsid w:val="7B955668"/>
    <w:rsid w:val="7EBC0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5C5BA9-D32B-492A-B554-8FC2A59D6BAB}">
  <ds:schemaRefs/>
</ds:datastoreItem>
</file>

<file path=docProps/app.xml><?xml version="1.0" encoding="utf-8"?>
<Properties xmlns="http://schemas.openxmlformats.org/officeDocument/2006/extended-properties" xmlns:vt="http://schemas.openxmlformats.org/officeDocument/2006/docPropsVTypes">
  <Template>Normal</Template>
  <Pages>4</Pages>
  <Words>251</Words>
  <Characters>1436</Characters>
  <Lines>11</Lines>
  <Paragraphs>3</Paragraphs>
  <TotalTime>10</TotalTime>
  <ScaleCrop>false</ScaleCrop>
  <LinksUpToDate>false</LinksUpToDate>
  <CharactersWithSpaces>1684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2020-06-10T02:23:00Z</dcterms:created>
  <dc:creator>陈勤飞</dc:creator>
  <cp:lastModifiedBy>豆子呦呦</cp:lastModifiedBy>
  <cp:lastPrinted>2021-03-24T06:36:00Z</cp:lastPrinted>
  <dcterms:modified xsi:type="dcterms:W3CDTF">2021-04-12T09:45:04Z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358349420_btnclosed</vt:lpwstr>
  </property>
  <property fmtid="{D5CDD505-2E9C-101B-9397-08002B2CF9AE}" pid="3" name="KSOProductBuildVer">
    <vt:lpwstr>2052-11.1.0.10356</vt:lpwstr>
  </property>
  <property fmtid="{D5CDD505-2E9C-101B-9397-08002B2CF9AE}" pid="4" name="ICV">
    <vt:lpwstr>3A78ED1EC23E47688E384E1526F0EF06</vt:lpwstr>
  </property>
</Properties>
</file>